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  <w:gridCol w:w="2914"/>
      </w:tblGrid>
      <w:tr w:rsidR="00D24E35" w:rsidTr="0065703B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D24E35" w:rsidRPr="00D06FCD" w:rsidRDefault="00D24E35" w:rsidP="00D24E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06FCD">
              <w:rPr>
                <w:rFonts w:ascii="Cambria" w:hAnsi="Cambria"/>
                <w:sz w:val="22"/>
                <w:szCs w:val="22"/>
              </w:rPr>
              <w:t xml:space="preserve">Constructing Arguments </w:t>
            </w:r>
            <w:r>
              <w:rPr>
                <w:rFonts w:ascii="Cambria" w:hAnsi="Cambria"/>
                <w:sz w:val="22"/>
                <w:szCs w:val="22"/>
              </w:rPr>
              <w:t xml:space="preserve">about Natural Phenomena and Evaluating </w:t>
            </w:r>
            <w:r w:rsidRPr="00D06FCD">
              <w:rPr>
                <w:rFonts w:ascii="Cambria" w:hAnsi="Cambria"/>
                <w:sz w:val="22"/>
                <w:szCs w:val="22"/>
              </w:rPr>
              <w:t>Design Solutions</w:t>
            </w:r>
          </w:p>
          <w:p w:rsidR="00D24E35" w:rsidRDefault="00D24E35" w:rsidP="00DC4A67">
            <w:pPr>
              <w:tabs>
                <w:tab w:val="right" w:pos="269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65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B05537" w:rsidRDefault="00D24E35" w:rsidP="0065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657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6570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DE" w:rsidTr="0065703B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DC4A67" w:rsidP="00DC4A67">
            <w:pPr>
              <w:tabs>
                <w:tab w:val="right" w:pos="269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claims or design solutions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FD7EDE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84504A" w:rsidRPr="00925E30" w:rsidRDefault="00DC4A67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make claims about phenomena or solutions to problems that are supported by evidence.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 claim or solution.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4504A" w:rsidRPr="001D613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claim or design a solution that supports the phenomena with </w:t>
            </w: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evidence. 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claim or design a solution that supports the phenomena with </w:t>
            </w:r>
            <w:r>
              <w:rPr>
                <w:sz w:val="20"/>
                <w:szCs w:val="20"/>
              </w:rPr>
              <w:t xml:space="preserve">limited </w:t>
            </w:r>
            <w:r>
              <w:rPr>
                <w:sz w:val="20"/>
                <w:szCs w:val="20"/>
              </w:rPr>
              <w:t xml:space="preserve">evidence. 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63535D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claim or design a solution that supports the phenomena </w:t>
            </w:r>
            <w:r w:rsidR="00421955">
              <w:rPr>
                <w:sz w:val="20"/>
                <w:szCs w:val="20"/>
              </w:rPr>
              <w:t xml:space="preserve">with evidence.  </w:t>
            </w:r>
          </w:p>
        </w:tc>
      </w:tr>
      <w:tr w:rsidR="00DC4A67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identify given claims, explanations, or design solutions to be evaluated, supported, or refuted with argumentation.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 claim, explanation, or solution.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C4A6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claim, explanation, or design solutions supported with</w:t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argumentation.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claim, explanation, or design solutions supported with </w:t>
            </w:r>
            <w:r>
              <w:rPr>
                <w:sz w:val="20"/>
                <w:szCs w:val="20"/>
              </w:rPr>
              <w:t xml:space="preserve"> limited </w:t>
            </w:r>
            <w:r>
              <w:rPr>
                <w:sz w:val="20"/>
                <w:szCs w:val="20"/>
              </w:rPr>
              <w:t>argumentation.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claim, explanation, or design solutions supported with argumentation. </w:t>
            </w:r>
          </w:p>
        </w:tc>
      </w:tr>
      <w:tr w:rsidR="00DC4A67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make claims about the merits of design solutions.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C4A67" w:rsidRDefault="00DC4A67" w:rsidP="0065703B">
            <w:pPr>
              <w:rPr>
                <w:sz w:val="20"/>
                <w:szCs w:val="20"/>
              </w:rPr>
            </w:pPr>
          </w:p>
        </w:tc>
      </w:tr>
      <w:tr w:rsidR="00005BFC" w:rsidTr="0065703B">
        <w:trPr>
          <w:trHeight w:val="532"/>
        </w:trPr>
        <w:tc>
          <w:tcPr>
            <w:tcW w:w="2913" w:type="dxa"/>
            <w:shd w:val="clear" w:color="auto" w:fill="808080" w:themeFill="background1" w:themeFillShade="80"/>
          </w:tcPr>
          <w:p w:rsidR="00005BFC" w:rsidRPr="00B05537" w:rsidRDefault="00DC4A67" w:rsidP="00DC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scientific evidence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005BFC" w:rsidTr="0065703B">
        <w:trPr>
          <w:trHeight w:val="896"/>
        </w:trPr>
        <w:tc>
          <w:tcPr>
            <w:tcW w:w="2913" w:type="dxa"/>
          </w:tcPr>
          <w:p w:rsidR="00005BFC" w:rsidRPr="00DF15BB" w:rsidRDefault="00DC4A67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identify and describe scientific evidence, models, and/or data that are relevant to supporting or evaluating claims about the particular phenomenon or design problem. </w:t>
            </w:r>
          </w:p>
        </w:tc>
        <w:tc>
          <w:tcPr>
            <w:tcW w:w="2914" w:type="dxa"/>
          </w:tcPr>
          <w:p w:rsidR="00005BFC" w:rsidRPr="001D6137" w:rsidRDefault="00F160E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Misidentify the scientific evidence, models, and/or data. </w:t>
            </w:r>
          </w:p>
        </w:tc>
        <w:tc>
          <w:tcPr>
            <w:tcW w:w="2913" w:type="dxa"/>
          </w:tcPr>
          <w:p w:rsidR="00005BFC" w:rsidRPr="001D6137" w:rsidRDefault="00F160E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scientific evidence, models, and/or data</w:t>
            </w:r>
            <w:r>
              <w:rPr>
                <w:sz w:val="20"/>
                <w:szCs w:val="20"/>
              </w:rPr>
              <w:t xml:space="preserve"> with no support or relevance. </w:t>
            </w:r>
          </w:p>
        </w:tc>
        <w:tc>
          <w:tcPr>
            <w:tcW w:w="2914" w:type="dxa"/>
          </w:tcPr>
          <w:p w:rsidR="00005BFC" w:rsidRDefault="00F160E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scientific evidence, models, and/or data that support the claim of the phenomenon.</w:t>
            </w:r>
            <w:r>
              <w:rPr>
                <w:sz w:val="20"/>
                <w:szCs w:val="20"/>
              </w:rPr>
              <w:t xml:space="preserve"> (not relevant)</w:t>
            </w:r>
          </w:p>
        </w:tc>
        <w:tc>
          <w:tcPr>
            <w:tcW w:w="2914" w:type="dxa"/>
          </w:tcPr>
          <w:p w:rsidR="00005BFC" w:rsidRDefault="0042195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scientific evidence, models, and/or data that support</w:t>
            </w:r>
            <w:r w:rsidR="00F160E9">
              <w:rPr>
                <w:sz w:val="20"/>
                <w:szCs w:val="20"/>
              </w:rPr>
              <w:t xml:space="preserve"> or are relevant to</w:t>
            </w:r>
            <w:r>
              <w:rPr>
                <w:sz w:val="20"/>
                <w:szCs w:val="20"/>
              </w:rPr>
              <w:t xml:space="preserve"> the claim of the phenomenon</w:t>
            </w:r>
            <w:r w:rsidR="00F160E9">
              <w:rPr>
                <w:sz w:val="20"/>
                <w:szCs w:val="20"/>
              </w:rPr>
              <w:t>.</w:t>
            </w:r>
          </w:p>
        </w:tc>
      </w:tr>
      <w:tr w:rsidR="00E75E20" w:rsidTr="0065703B">
        <w:trPr>
          <w:trHeight w:val="552"/>
        </w:trPr>
        <w:tc>
          <w:tcPr>
            <w:tcW w:w="2913" w:type="dxa"/>
            <w:shd w:val="clear" w:color="auto" w:fill="808080" w:themeFill="background1" w:themeFillShade="80"/>
          </w:tcPr>
          <w:p w:rsidR="00E75E20" w:rsidRPr="00E75E20" w:rsidRDefault="000652C0" w:rsidP="00065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Evaluating and critiquing evidence 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E75E20" w:rsidRPr="000652C0" w:rsidRDefault="000652C0" w:rsidP="000652C0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Students evaluate whether the evidence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 support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s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 logical and reasonable arguments about the claims, explanations, or design solutions. </w:t>
            </w:r>
          </w:p>
        </w:tc>
        <w:tc>
          <w:tcPr>
            <w:tcW w:w="2914" w:type="dxa"/>
          </w:tcPr>
          <w:p w:rsidR="00E75E20" w:rsidRDefault="00C31D73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evaluation </w:t>
            </w:r>
          </w:p>
        </w:tc>
        <w:tc>
          <w:tcPr>
            <w:tcW w:w="2913" w:type="dxa"/>
          </w:tcPr>
          <w:p w:rsidR="00E75E20" w:rsidRDefault="00C31D73" w:rsidP="00C3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whether the evidence is logical OR reasonable </w:t>
            </w:r>
            <w:r>
              <w:rPr>
                <w:sz w:val="20"/>
                <w:szCs w:val="20"/>
              </w:rPr>
              <w:t xml:space="preserve">but not relevant to the claim explanation, or design solution.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14" w:type="dxa"/>
          </w:tcPr>
          <w:p w:rsidR="00E75E20" w:rsidRDefault="00C31D73" w:rsidP="00C3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whether the evidence is logical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reasonable about the claims, explanations, or design solutions.  .</w:t>
            </w:r>
          </w:p>
        </w:tc>
        <w:tc>
          <w:tcPr>
            <w:tcW w:w="2914" w:type="dxa"/>
          </w:tcPr>
          <w:p w:rsidR="00E75E20" w:rsidRDefault="00C31D73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whether the evidence is logical and reasonable about the claims, explanations, or design solutions.  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0652C0" w:rsidRDefault="000652C0" w:rsidP="000652C0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Students evaluate whether other explanations or factors of the explanation could be supported by the evidence.</w:t>
            </w:r>
          </w:p>
          <w:p w:rsidR="00E75E20" w:rsidRPr="00D85DF1" w:rsidRDefault="00E75E20" w:rsidP="000652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DE353E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whether other explanations could be supported by evidence.    </w:t>
            </w:r>
          </w:p>
        </w:tc>
      </w:tr>
      <w:tr w:rsidR="000652C0" w:rsidTr="0065703B">
        <w:trPr>
          <w:trHeight w:val="896"/>
        </w:trPr>
        <w:tc>
          <w:tcPr>
            <w:tcW w:w="2913" w:type="dxa"/>
          </w:tcPr>
          <w:p w:rsidR="000652C0" w:rsidRPr="00A83FCA" w:rsidRDefault="000652C0" w:rsidP="000652C0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Students distinguish among facts, reasoned arguments based on evidence, and speculation. </w:t>
            </w:r>
          </w:p>
          <w:p w:rsidR="000652C0" w:rsidRDefault="000652C0" w:rsidP="000652C0">
            <w:pPr>
              <w:pStyle w:val="Default"/>
              <w:ind w:left="7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914" w:type="dxa"/>
          </w:tcPr>
          <w:p w:rsidR="000652C0" w:rsidRDefault="000652C0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0652C0" w:rsidRDefault="000652C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0652C0" w:rsidRDefault="000652C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0652C0" w:rsidRDefault="000652C0" w:rsidP="0065703B">
            <w:pPr>
              <w:rPr>
                <w:sz w:val="20"/>
                <w:szCs w:val="20"/>
              </w:rPr>
            </w:pPr>
          </w:p>
        </w:tc>
      </w:tr>
      <w:tr w:rsidR="0002601C" w:rsidTr="0065703B">
        <w:trPr>
          <w:trHeight w:val="424"/>
        </w:trPr>
        <w:tc>
          <w:tcPr>
            <w:tcW w:w="2913" w:type="dxa"/>
            <w:shd w:val="clear" w:color="auto" w:fill="808080" w:themeFill="background1" w:themeFillShade="80"/>
          </w:tcPr>
          <w:p w:rsidR="0002601C" w:rsidRDefault="000652C0" w:rsidP="0065703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and Synthesis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8F267F" w:rsidTr="0065703B">
        <w:trPr>
          <w:trHeight w:val="896"/>
        </w:trPr>
        <w:tc>
          <w:tcPr>
            <w:tcW w:w="2913" w:type="dxa"/>
          </w:tcPr>
          <w:p w:rsidR="000652C0" w:rsidRPr="00D06FCD" w:rsidRDefault="000652C0" w:rsidP="000652C0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</w:t>
            </w:r>
            <w:r w:rsidRPr="00D06FCD">
              <w:rPr>
                <w:rFonts w:ascii="Cambria" w:hAnsi="Cambria" w:cs="Tahoma"/>
              </w:rPr>
              <w:t>tudent</w:t>
            </w:r>
            <w:r>
              <w:rPr>
                <w:rFonts w:ascii="Cambria" w:hAnsi="Cambria" w:cs="Tahoma"/>
              </w:rPr>
              <w:t>s use reasoning to connect</w:t>
            </w:r>
            <w:r w:rsidRPr="00D06FCD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the evidence and evaluation logically to construct arguments</w:t>
            </w:r>
            <w:r w:rsidRPr="00D06FCD">
              <w:rPr>
                <w:rFonts w:ascii="Cambria" w:hAnsi="Cambria" w:cs="Tahoma"/>
              </w:rPr>
              <w:t>.</w:t>
            </w:r>
          </w:p>
          <w:p w:rsidR="008F267F" w:rsidRPr="008F267F" w:rsidRDefault="008F267F" w:rsidP="000652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</w:tr>
    </w:tbl>
    <w:p w:rsidR="00CA42DE" w:rsidRDefault="00090FE3">
      <w:bookmarkStart w:id="0" w:name="_GoBack"/>
      <w:bookmarkEnd w:id="0"/>
    </w:p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p w:rsidR="00D24E35" w:rsidRDefault="00D24E35"/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2914"/>
        <w:gridCol w:w="2913"/>
        <w:gridCol w:w="2913"/>
        <w:gridCol w:w="2914"/>
        <w:gridCol w:w="2914"/>
      </w:tblGrid>
      <w:tr w:rsidR="00D24E35" w:rsidTr="00D24E35">
        <w:trPr>
          <w:trHeight w:val="431"/>
        </w:trPr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D24E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Evaluating given design solutions 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E35" w:rsidTr="00D24E35">
        <w:trPr>
          <w:trHeight w:val="431"/>
        </w:trPr>
        <w:tc>
          <w:tcPr>
            <w:tcW w:w="2914" w:type="dxa"/>
            <w:shd w:val="clear" w:color="auto" w:fill="808080" w:themeFill="background1" w:themeFillShade="80"/>
          </w:tcPr>
          <w:p w:rsidR="00D24E35" w:rsidRPr="00D06FCD" w:rsidRDefault="00D24E35" w:rsidP="00D24E35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D06FCD">
              <w:rPr>
                <w:rFonts w:ascii="Cambria" w:hAnsi="Cambria"/>
                <w:sz w:val="22"/>
                <w:szCs w:val="22"/>
              </w:rPr>
              <w:t xml:space="preserve">Identifying the given </w:t>
            </w:r>
            <w:r>
              <w:rPr>
                <w:rFonts w:ascii="Cambria" w:hAnsi="Cambria"/>
                <w:sz w:val="22"/>
                <w:szCs w:val="22"/>
              </w:rPr>
              <w:t>solutions and information about the problem</w:t>
            </w:r>
            <w:r w:rsidRPr="00D06FCD">
              <w:rPr>
                <w:rFonts w:ascii="Cambria" w:hAnsi="Cambria"/>
                <w:sz w:val="22"/>
                <w:szCs w:val="22"/>
              </w:rPr>
              <w:t>.</w:t>
            </w:r>
          </w:p>
          <w:p w:rsidR="00D24E35" w:rsidRPr="00B05537" w:rsidRDefault="00D24E35" w:rsidP="005E1DC5">
            <w:pPr>
              <w:tabs>
                <w:tab w:val="right" w:pos="269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5E1DC5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D24E35" w:rsidTr="00D24E35">
        <w:trPr>
          <w:trHeight w:val="896"/>
        </w:trPr>
        <w:tc>
          <w:tcPr>
            <w:tcW w:w="2914" w:type="dxa"/>
            <w:tcBorders>
              <w:bottom w:val="single" w:sz="4" w:space="0" w:color="auto"/>
            </w:tcBorders>
          </w:tcPr>
          <w:p w:rsidR="00D24E35" w:rsidRPr="00925E30" w:rsidRDefault="00D24E35" w:rsidP="00D24E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clearly identify the given solutions and information, including their relevant features.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</w:t>
            </w:r>
            <w:r w:rsidRPr="001D6137">
              <w:rPr>
                <w:sz w:val="20"/>
                <w:szCs w:val="20"/>
              </w:rPr>
              <w:t>ncorrect phenomenon or no description was produced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</w:t>
            </w:r>
            <w:r w:rsidRPr="001D6137">
              <w:rPr>
                <w:sz w:val="20"/>
                <w:szCs w:val="20"/>
              </w:rPr>
              <w:t xml:space="preserve">orrect phenomenon without description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description of phenomenon or description has errors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description of  the phenomenon without errors </w:t>
            </w:r>
          </w:p>
        </w:tc>
      </w:tr>
      <w:tr w:rsidR="00D24E35" w:rsidTr="00D24E35">
        <w:trPr>
          <w:trHeight w:val="896"/>
        </w:trPr>
        <w:tc>
          <w:tcPr>
            <w:tcW w:w="2914" w:type="dxa"/>
            <w:tcBorders>
              <w:bottom w:val="single" w:sz="4" w:space="0" w:color="auto"/>
            </w:tcBorders>
          </w:tcPr>
          <w:p w:rsidR="00D24E35" w:rsidRDefault="00D24E35" w:rsidP="00D24E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clearly identify the problem, including specific relevant to the evaluation.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  <w:tr w:rsidR="00D24E35" w:rsidTr="00D24E35">
        <w:trPr>
          <w:trHeight w:val="532"/>
        </w:trPr>
        <w:tc>
          <w:tcPr>
            <w:tcW w:w="2914" w:type="dxa"/>
            <w:shd w:val="clear" w:color="auto" w:fill="808080" w:themeFill="background1" w:themeFillShade="80"/>
          </w:tcPr>
          <w:p w:rsidR="00D24E35" w:rsidRPr="00B05537" w:rsidRDefault="00D24E35" w:rsidP="00D24E35">
            <w:pPr>
              <w:pStyle w:val="Default"/>
              <w:rPr>
                <w:b/>
                <w:sz w:val="20"/>
                <w:szCs w:val="20"/>
              </w:rPr>
            </w:pP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Identifying any potential additional evidence that is relevant to the evaluation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1D6137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Pr="001D6137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D24E35" w:rsidTr="00D24E35">
        <w:trPr>
          <w:trHeight w:val="896"/>
        </w:trPr>
        <w:tc>
          <w:tcPr>
            <w:tcW w:w="2914" w:type="dxa"/>
          </w:tcPr>
          <w:p w:rsidR="00D24E35" w:rsidRPr="00D06FCD" w:rsidRDefault="00D24E35" w:rsidP="00D24E35">
            <w:pPr>
              <w:pStyle w:val="Default"/>
              <w:numPr>
                <w:ilvl w:val="0"/>
                <w:numId w:val="1"/>
              </w:numPr>
              <w:tabs>
                <w:tab w:val="left" w:pos="1800"/>
              </w:tabs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tudent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s identify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and describe 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evidence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from data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, scientific theories, or models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, including necessary information that students obtain from the given materials, prior knowledge, and through additional research, that is relevant to the evaluation.</w:t>
            </w:r>
          </w:p>
          <w:p w:rsidR="00D24E35" w:rsidRPr="00DF15BB" w:rsidRDefault="00D24E35" w:rsidP="00D24E3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Pr="001D6137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  <w:tr w:rsidR="00D24E35" w:rsidTr="00D24E35">
        <w:trPr>
          <w:trHeight w:val="552"/>
        </w:trPr>
        <w:tc>
          <w:tcPr>
            <w:tcW w:w="2914" w:type="dxa"/>
            <w:shd w:val="clear" w:color="auto" w:fill="808080" w:themeFill="background1" w:themeFillShade="80"/>
          </w:tcPr>
          <w:p w:rsidR="00D24E35" w:rsidRPr="00E75E20" w:rsidRDefault="00D24E35" w:rsidP="005E1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</w:t>
            </w:r>
            <w:r>
              <w:rPr>
                <w:b/>
                <w:sz w:val="20"/>
                <w:szCs w:val="20"/>
              </w:rPr>
              <w:t>luating and critiquing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D24E35" w:rsidTr="00D24E35">
        <w:trPr>
          <w:trHeight w:val="896"/>
        </w:trPr>
        <w:tc>
          <w:tcPr>
            <w:tcW w:w="2914" w:type="dxa"/>
          </w:tcPr>
          <w:p w:rsidR="00D24E35" w:rsidRDefault="00D24E35" w:rsidP="00D24E3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tudent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s use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a systematic method to identify the strengths and weakness of the solution(s). </w:t>
            </w:r>
          </w:p>
          <w:p w:rsidR="00D24E35" w:rsidRPr="000652C0" w:rsidRDefault="00D24E35" w:rsidP="00D24E35">
            <w:pPr>
              <w:pStyle w:val="Default"/>
              <w:ind w:left="720"/>
              <w:rPr>
                <w:rFonts w:ascii="Cambria" w:hAnsi="Cambria"/>
                <w:color w:val="auto"/>
                <w:sz w:val="22"/>
                <w:szCs w:val="22"/>
              </w:rPr>
            </w:pP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  <w:tr w:rsidR="00D24E35" w:rsidTr="00D24E35">
        <w:trPr>
          <w:trHeight w:val="896"/>
        </w:trPr>
        <w:tc>
          <w:tcPr>
            <w:tcW w:w="2914" w:type="dxa"/>
          </w:tcPr>
          <w:p w:rsidR="00D24E35" w:rsidRDefault="00D24E35" w:rsidP="00D24E3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Students evaluate the solution(s) against each criterion and constraint</w:t>
            </w:r>
          </w:p>
          <w:p w:rsidR="00D24E35" w:rsidRPr="00D85DF1" w:rsidRDefault="00D24E35" w:rsidP="005E1DC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  <w:tr w:rsidR="00D24E35" w:rsidTr="00D24E35">
        <w:trPr>
          <w:trHeight w:val="896"/>
        </w:trPr>
        <w:tc>
          <w:tcPr>
            <w:tcW w:w="2914" w:type="dxa"/>
          </w:tcPr>
          <w:p w:rsidR="00D24E35" w:rsidRPr="00D06FCD" w:rsidRDefault="00D24E35" w:rsidP="00D24E3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Students use 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evidence to assess 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 xml:space="preserve">the given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features of the solution</w:t>
            </w:r>
            <w:r w:rsidRPr="00D06FCD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  <w:p w:rsidR="00D24E35" w:rsidRPr="00A83FCA" w:rsidRDefault="00D24E35" w:rsidP="00D24E35">
            <w:pPr>
              <w:pStyle w:val="Default"/>
              <w:ind w:left="720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D24E35" w:rsidRDefault="00D24E35" w:rsidP="005E1DC5">
            <w:pPr>
              <w:pStyle w:val="Default"/>
              <w:ind w:left="7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  <w:tr w:rsidR="00D24E35" w:rsidTr="00D24E35">
        <w:trPr>
          <w:trHeight w:val="424"/>
        </w:trPr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and Synthesis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D24E35" w:rsidRDefault="00D24E35" w:rsidP="005E1DC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D24E35" w:rsidTr="00D24E35">
        <w:trPr>
          <w:trHeight w:val="896"/>
        </w:trPr>
        <w:tc>
          <w:tcPr>
            <w:tcW w:w="2914" w:type="dxa"/>
          </w:tcPr>
          <w:p w:rsidR="00D24E35" w:rsidRPr="00D24E35" w:rsidRDefault="00D24E35" w:rsidP="00D24E35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Cambria" w:hAnsi="Cambria" w:cs="Tahoma"/>
              </w:rPr>
            </w:pPr>
            <w:r w:rsidRPr="00D24E35">
              <w:rPr>
                <w:rFonts w:ascii="Cambria" w:hAnsi="Cambria" w:cs="Tahoma"/>
              </w:rPr>
              <w:t>Students use reasoning to make a claim about the effectiveness (or relative effectiveness, when appropriate) of the solution(s) based on the strengths and weaknesses of the solution(s).</w:t>
            </w:r>
          </w:p>
          <w:p w:rsidR="00D24E35" w:rsidRPr="008F267F" w:rsidRDefault="00D24E35" w:rsidP="005E1DC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D24E35" w:rsidRDefault="00D24E35" w:rsidP="005E1DC5">
            <w:pPr>
              <w:rPr>
                <w:sz w:val="20"/>
                <w:szCs w:val="20"/>
              </w:rPr>
            </w:pPr>
          </w:p>
        </w:tc>
      </w:tr>
    </w:tbl>
    <w:p w:rsidR="00D24E35" w:rsidRDefault="00D24E35"/>
    <w:sectPr w:rsidR="00D24E35" w:rsidSect="00B35862">
      <w:headerReference w:type="default" r:id="rId7"/>
      <w:footerReference w:type="default" r:id="rId8"/>
      <w:pgSz w:w="15840" w:h="12240" w:orient="landscape"/>
      <w:pgMar w:top="360" w:right="360" w:bottom="9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F4" w:rsidRDefault="009763F4" w:rsidP="00860AED">
      <w:pPr>
        <w:spacing w:after="0" w:line="240" w:lineRule="auto"/>
      </w:pPr>
      <w:r>
        <w:separator/>
      </w:r>
    </w:p>
  </w:endnote>
  <w:end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Pr="005622E5" w:rsidRDefault="005622E5">
    <w:pPr>
      <w:pStyle w:val="Footer"/>
      <w:rPr>
        <w:sz w:val="16"/>
        <w:szCs w:val="16"/>
      </w:rPr>
    </w:pPr>
    <w:r w:rsidRPr="005622E5">
      <w:rPr>
        <w:sz w:val="16"/>
        <w:szCs w:val="16"/>
      </w:rPr>
      <w:t>Bentley KDE 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F4" w:rsidRDefault="009763F4" w:rsidP="00860AED">
      <w:pPr>
        <w:spacing w:after="0" w:line="240" w:lineRule="auto"/>
      </w:pPr>
      <w:r>
        <w:separator/>
      </w:r>
    </w:p>
  </w:footnote>
  <w:foot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0" w:rsidRDefault="007A4D9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3-5 </w:t>
    </w:r>
    <w:r w:rsidR="00860AED" w:rsidRPr="00860AED">
      <w:rPr>
        <w:b/>
        <w:sz w:val="32"/>
        <w:szCs w:val="32"/>
      </w:rPr>
      <w:t>R</w:t>
    </w:r>
    <w:r>
      <w:rPr>
        <w:b/>
        <w:sz w:val="32"/>
        <w:szCs w:val="32"/>
      </w:rPr>
      <w:t>ubric for En</w:t>
    </w:r>
    <w:r w:rsidR="000652C0">
      <w:rPr>
        <w:b/>
        <w:sz w:val="32"/>
        <w:szCs w:val="32"/>
      </w:rPr>
      <w:t xml:space="preserve">gaging in Argument from Evidence </w:t>
    </w:r>
  </w:p>
  <w:p w:rsidR="007A4D9F" w:rsidRPr="00860AED" w:rsidRDefault="007A4D9F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31D"/>
    <w:multiLevelType w:val="hybridMultilevel"/>
    <w:tmpl w:val="D65891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9D0566"/>
    <w:multiLevelType w:val="hybridMultilevel"/>
    <w:tmpl w:val="A60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837"/>
    <w:multiLevelType w:val="hybridMultilevel"/>
    <w:tmpl w:val="CC9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483B"/>
    <w:multiLevelType w:val="hybridMultilevel"/>
    <w:tmpl w:val="7A0A6D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014EB0"/>
    <w:multiLevelType w:val="hybridMultilevel"/>
    <w:tmpl w:val="65CA4BE0"/>
    <w:lvl w:ilvl="0" w:tplc="B9F6A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8E660A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610D7"/>
    <w:multiLevelType w:val="hybridMultilevel"/>
    <w:tmpl w:val="96AE0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E11E97"/>
    <w:multiLevelType w:val="hybridMultilevel"/>
    <w:tmpl w:val="8FC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655A"/>
    <w:multiLevelType w:val="hybridMultilevel"/>
    <w:tmpl w:val="96AE0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36132"/>
    <w:multiLevelType w:val="hybridMultilevel"/>
    <w:tmpl w:val="396646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777E9D"/>
    <w:multiLevelType w:val="hybridMultilevel"/>
    <w:tmpl w:val="5B86BFA4"/>
    <w:lvl w:ilvl="0" w:tplc="04090013">
      <w:start w:val="1"/>
      <w:numFmt w:val="upperRoman"/>
      <w:lvlText w:val="%1."/>
      <w:lvlJc w:val="right"/>
      <w:pPr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4EE30D2"/>
    <w:multiLevelType w:val="hybridMultilevel"/>
    <w:tmpl w:val="5992A22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6F31747"/>
    <w:multiLevelType w:val="hybridMultilevel"/>
    <w:tmpl w:val="8A9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4A"/>
    <w:rsid w:val="00005BFC"/>
    <w:rsid w:val="0001287A"/>
    <w:rsid w:val="0002601C"/>
    <w:rsid w:val="000652C0"/>
    <w:rsid w:val="00090FE3"/>
    <w:rsid w:val="000E3079"/>
    <w:rsid w:val="00115AD5"/>
    <w:rsid w:val="00135773"/>
    <w:rsid w:val="00186F73"/>
    <w:rsid w:val="001D6137"/>
    <w:rsid w:val="00293D47"/>
    <w:rsid w:val="002D3A05"/>
    <w:rsid w:val="002D4E24"/>
    <w:rsid w:val="003418A7"/>
    <w:rsid w:val="00360BB0"/>
    <w:rsid w:val="003626E7"/>
    <w:rsid w:val="00375DF3"/>
    <w:rsid w:val="003F0830"/>
    <w:rsid w:val="003F14AE"/>
    <w:rsid w:val="003F79AB"/>
    <w:rsid w:val="00421955"/>
    <w:rsid w:val="00424E8A"/>
    <w:rsid w:val="00434F09"/>
    <w:rsid w:val="00455BE4"/>
    <w:rsid w:val="00477037"/>
    <w:rsid w:val="00486DED"/>
    <w:rsid w:val="004A28E3"/>
    <w:rsid w:val="004D1F48"/>
    <w:rsid w:val="004D2D20"/>
    <w:rsid w:val="004D5575"/>
    <w:rsid w:val="004E082A"/>
    <w:rsid w:val="00504C62"/>
    <w:rsid w:val="00521F60"/>
    <w:rsid w:val="00554ACB"/>
    <w:rsid w:val="00560B2A"/>
    <w:rsid w:val="005622E5"/>
    <w:rsid w:val="005A487C"/>
    <w:rsid w:val="00621CE5"/>
    <w:rsid w:val="0063535D"/>
    <w:rsid w:val="0065703B"/>
    <w:rsid w:val="0071034B"/>
    <w:rsid w:val="0078226E"/>
    <w:rsid w:val="007823DF"/>
    <w:rsid w:val="00786433"/>
    <w:rsid w:val="007A4D9F"/>
    <w:rsid w:val="007A5A2B"/>
    <w:rsid w:val="007C3164"/>
    <w:rsid w:val="007E7FEE"/>
    <w:rsid w:val="0084504A"/>
    <w:rsid w:val="0085499E"/>
    <w:rsid w:val="00860AED"/>
    <w:rsid w:val="008A6BF1"/>
    <w:rsid w:val="008D0FB2"/>
    <w:rsid w:val="008F267F"/>
    <w:rsid w:val="00925E30"/>
    <w:rsid w:val="00932185"/>
    <w:rsid w:val="00933C20"/>
    <w:rsid w:val="00957E4D"/>
    <w:rsid w:val="00963E0A"/>
    <w:rsid w:val="009763F4"/>
    <w:rsid w:val="009906C5"/>
    <w:rsid w:val="009B26F8"/>
    <w:rsid w:val="00A01504"/>
    <w:rsid w:val="00A44C4A"/>
    <w:rsid w:val="00B05537"/>
    <w:rsid w:val="00B35862"/>
    <w:rsid w:val="00B441BA"/>
    <w:rsid w:val="00BA40C1"/>
    <w:rsid w:val="00BC4CA0"/>
    <w:rsid w:val="00C278D5"/>
    <w:rsid w:val="00C31D73"/>
    <w:rsid w:val="00CD6C7A"/>
    <w:rsid w:val="00D007F5"/>
    <w:rsid w:val="00D24E35"/>
    <w:rsid w:val="00D414BD"/>
    <w:rsid w:val="00D85DF1"/>
    <w:rsid w:val="00D8608D"/>
    <w:rsid w:val="00DB5696"/>
    <w:rsid w:val="00DC4A67"/>
    <w:rsid w:val="00DD05C4"/>
    <w:rsid w:val="00DD7E3F"/>
    <w:rsid w:val="00DE353E"/>
    <w:rsid w:val="00DE5392"/>
    <w:rsid w:val="00DF15BB"/>
    <w:rsid w:val="00E75E20"/>
    <w:rsid w:val="00E96812"/>
    <w:rsid w:val="00EC27FA"/>
    <w:rsid w:val="00F07288"/>
    <w:rsid w:val="00F07EFC"/>
    <w:rsid w:val="00F160E9"/>
    <w:rsid w:val="00F70818"/>
    <w:rsid w:val="00FC466E"/>
    <w:rsid w:val="00FD7ED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E2BFD-48A9-4A0E-95EC-F85703D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  <w:style w:type="paragraph" w:customStyle="1" w:styleId="Default">
    <w:name w:val="Default"/>
    <w:uiPriority w:val="99"/>
    <w:rsid w:val="000652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Bentley, Chris - Division of Program Standards</dc:creator>
  <cp:lastModifiedBy>Debbie Craft</cp:lastModifiedBy>
  <cp:revision>2</cp:revision>
  <dcterms:created xsi:type="dcterms:W3CDTF">2016-02-18T19:09:00Z</dcterms:created>
  <dcterms:modified xsi:type="dcterms:W3CDTF">2016-02-18T19:09:00Z</dcterms:modified>
</cp:coreProperties>
</file>